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Севастополя от 04.03.2021, оставленным без изменения постановлением Двадцать первого арбитражного апелляционного суда от 24.06.2021, в иске отказано. Постановлением Арбитражного суда Центрального округа от 25.11.2021 указанные судебные акты оставлены без изменения. В кассационной жалобе, поступившей в Верховный Суд Российской Федерации, общество просит отменить принятые по делу судебные акты, 2 считая их незаконными и необоснованными, направить дело на новое рассмотрение в суд первой инстанции.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Исходя из доводов жалобы, оснований для ее передачи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статьи 15 Гражданского кодекса Российской Федерации, статьи 189.49 Федерального закона от 26.10.2002 № 127-ФЗ «О несостоятельности (банкротстве)», суды в иске отказали, признав недоказанным в рассматриваемом случае наличие у банка обязанности по возмещению убытков. Доводы жалобы были предметом исследования судов и получили исчерпывающую правовую оценку применительно к установленным обстоятельствам с учетом предмета и основания иска,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