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17.08.2021, оставленным без изменения постановлением Девятого арбитражного апелляционного суда от 07.10.2021 и постановлением Арбитражного суда Московского округа от 03.12.2021, производство по заявлению прекращено. В кассационной жалобе Ким А.Р. просит об отмене судебных актов, ссылаясь на исполнение обязательства умершего в большем падающего на наследника размере.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Установив, что указанная задолженность является долгом Ким А.Р. как наследницы умершего, суд прекратил производство по заявлению в соответствии со статьями 1110, 1112, 1175 Гражданского кодекса Российской Федерации, статьями 213.3, 213.4, 223.1 Федерального закона от 26.10.2002 № 127-ФЗ «О несостоятельности (банкротстве)» и пунктом 60 постановления Пленума Верховного Суда Российской Федерации от 29.05.2012 № 9 «О судебной практике по делам о наследовании». Доводы кассационной жалобы не подтверждают нарушения норм права и не составляют оснований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Ким Анастасии Романовне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