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10.02.2021, оставленным без изменения постановлением Четвертого арбитражного апелляционного суда от 12.08.2021 и постановлением Арбитражного суда Восточно-Сибирского округа от 16.11.2021, в удовлетворении заявления отказано. В кассационной жалобе Логинов А.А. просит об отмене судебных актов, ссылаясь на неустановление статуса спорного имущества, невозможность обращения взыскания на долю супруги в квартире.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Вывод судов об отсутствии у спорной квартиры статуса единственного пригодного для постоянного проживания должника и членов его семьи жилья сделан на основании исследованных доказательств проживания должника и получения им пенсии не по месту нахождения спорной квартиры и соответствует статье 446 Гражданского процессуального кодекса Российской Федерации и статье 213.25 Федерального закона от 26.10.2002 № 127-ФЗ «О несостоятельности (банкротстве)». Наличие права собственности должника и членов его семьи на имущество не является препятствием для обращения взыскания на имущество по долгам в процедуре банкротства. Суды установили утверждение в отношении квартиры Положения о порядке, условиях и сроке реализации, в соответствии с которым квартира реализована на торгах, и учитывали неустановление и ранее у спорной квартиры исполнительского иммунитета в рамках рассмотрения жалобы должника на действия финансового управляющего.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Логинову Андрею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