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14.07.2021, оставленным без изменения постановлением Двенадцатого арбитражного апелляционного суда от 28.09.2021 и постановлением Арбитражного суда Поволжского округа от 27.12.2021, первоначальный иск удовлетворен частично, в удовлетворении встречного иска отказано. В кассационной жалобе предприниматель просит отменить судебные акты в удовлетворенной части первоначального иска и по встречному иску, ссылаясь на неправильную квалификацию договора в качестве абонентского, 2 игнорирование отказа от части услуг и отсутствия долга, ненадлежащее содержание обществом помещений.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Толкование договора в силу статьи 431 Гражданского кодекса Российской Федерации относится к компетенции суда, рассматривающего дело. Применяя к правоотношениям сторон нормы статьи 429.4 Гражданского кодекса Российской Федерации, суды исходили из содержания договора от 16.11.2018, не измененного соглашением сторон. Требования общества удовлетворены в соответствии с согласованными в договоре условиями и доказательствами его исполнения. Руководствуясь статьями 15, 210, 246, 247 Гражданского кодекса Российской Федерации, суды отказали во взыскании заявленных по встречному иску убытков, не установив вменяемого предпринимателем обществу нарушения, за которые взыскиваются убытки. Требуемая в жалобе переоценка доказательств не образует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Филатовой Юлии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