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01.02.2021, оставленным без изменения постановлением Тринадцатого арбитражного апелляционного суда от 15.07.2021 2 и постановлением Арбитражного суда Северо-Западного округа от 22.11.2021, исковые требования удовлетворены. В кассационной жалобе, поданной в Верховный Суд Российской Федерации, завод,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факт передачи заводом обществу товара (автокрана) с недостатками, которые были обнаружены в пределах гарантийного срока, неоднократно проявлялись вновь после их устранения и существенно затрудняли или делали невозможным использование автокрана в соответствии с его функциональным назначением. При таких обстоятельствах, учитывая отсутствие доказательств, свидетельствующих о том, что недостатки товара возникли после его передачи истцу вследствие нарушения правил пользования товаром или его хранения, либо действий третьих лиц, либо непреодолимой силы, руководствуясь статьями 307, 309, 310, 469, 470, 475, 476, 506, 670 Гражданского кодекса Российской Федерации, суды пришли к выводу о наличии оснований для удовлетворения исковых требований. Суд округа поддержал выводы судов первой и апелляционной инстанций. Приведенные заявителем в кассационной жалобе доводы аналогичны доводам, заявлявшимся в судах нижестоящих инстанций, которым дана правовая оценка, по существу свидетельствуют о несогласии с установленными по делу обстоятельствами и оценкой доказательств, при этом существенных нарушений норм материального права и (или) норм процессуального права, 3 повлиявших на исход дела, не подтверждают, в связи с чем оснований для передачи жалобы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«Ивановский машиностроительный завод «Автокран»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