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11.03.2021, оставленным без изменения постановлением Тринадцатого арбитражного апелляционного суда от 07.07.2021 и постановлением Арбитражного суда Северо-Западного округа от 24.11.2021, исковые требования удовлетворены. В кассационной жалобе, поданной в Верховный Суд Российской Федерации, институт просит отменить указанные судебные акты, ссылаясь на их незаконность.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заключенных сторонами договоров, установив факт выполнения обществом (подрядчик) проектных работ, приемки их результата институтом (заказчик), отсутствие доказательств наличия в проектной документации существенных и неустранимых недостатков, препятствующих ее использованию по назначению, как и доказательств полной оплаты работ в размере, предусмотренном в дополнительных соглашениях к договорам, руководствуясь статьями 309, 310, 330, 702, 711 Гражданского кодекса Российской Федерации, суды пришли к выводу об обоснованности заявленных требований.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«Институт проектирования и строительства»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