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24.05.2021, оставленным без изменения постановлением Седьмого арбитражного 2 апелляционного суда от 29.07.2021 и постановлением Арбитражного суда Западно-Сибирского округа от 24.11.2021, в удовлетворении заявленного требования отказано. Общество обратилось в Верховный Суд Российской Федерации с кассационной жалобой, в которой просит принятые по делу судебные акты отменить, считая их принятыми с нарушением норм материального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в связи с выдачей заработной платы иностранному гражданину наличными денежными средствами без использования банковского счета. Частью 1 статьи 15.25 КоАП РФ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3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КоАП РФ.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 с учетом установленных судами обстоятельств. Оснований для иной оценки обстоятельств исходя из доводов жалобы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