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19.10.2020, оставленным без изменения постановлением Девятого арбитражного апелляционного суда от 06.07.2021, заявленные требования удовлетворены. Арбитражный суд Московского округа постановлением от 02.12.2021 отменил указанные судебные акты судов первой и апелляционной инстанций и направил дело на новое рассмотрение в Арбитражный суд города Москвы. Общество обратилось в Верховный Суд Российской Федерации с кассационной жалобой, в которой, обжалуя постановление суда округа и ссылаясь на нарушение норм материального и процессуального права, просит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На основании установленных судами первой и апелляционной инстанций фактических обстоятельств дела, связанных с возможностью взыскания со страховой компании задолженности и пени по заключенному договору на оказание и оплату медицинской помощи по ОМС, суд округа 3 пришел к выводу о том, что обстоятельства (факт оказания истцом услуг застрахованным лицам в заявленном к взысканию размере в соответствии с территориальной программой ОМС, содержащей, в том числе, перечень видов медицинской помощи, а также условия и порядок ее предоставления в уполномоченных медицинских организациях), имеющие значения для рассмотрения настоящего дела судами не выяснялись, им не была дана надлежащая правовая оценка (в том числе судами не устанавливался и не проверялся расчет заявленных к взысканию сумм); суд не обладает возможностями фонда по контролю за оказанием соответствующих услуг, учитывая, что подлежат проверке сведения о конкретном лице, его месте проживания, страховом полисе и прочее; вывод судов о реальности оказания услуг только в силу наличия в деле документов об их оказании без исследования и надлежащей правовой оценки перечисленных обстоятельств не может быть признан обоснованным. В связи с необходимостью установления фактических обстоятельств спора, суд округа, действуя в пределах полномочий, установленных Арбитражным процессуальным кодексом Российской Федерации, отменил судебные акты судов нижестоящих инстанций и направил дело на новое рассмотрение в суд первой инстанции. Обжалуя судебный акт кассационной инстанции в Верховный Суд Российской Федерации, общество приводит доводы, которые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4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