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07.05.2021, оставленным без изменения постановлением Десятого арбитражного апелляционного суда от 27.07.2021 и постановлением Арбитражного суда Московского округа от 25.11.2021,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компании (до переименования - общество с ограниченной ответственностью «Добрый город», управляющая организация) мотивированы неисполнением обществом (застройщик) обязательств по оплате услуг, оказанных по договору управления многоквартирным домом от 21.01.2020 № 35.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осуществления истцом деятельности по управлению многоквартирным домом, в том числе оказания им управленческих услуг, а также услуг по содержанию и текущему ремонту общего имущества в спорный период, отсутствие доказательств их оплаты обществом, как и доказательств передачи помещений иным лицам, руководствуясь статьями 210, 307, 309, 310 Гражданского кодекса Российской Федерации, статьями 39, 153, 155, 157 Жилищного кодекса Российской Федерации, суды первой и апелляционной инстанций пришли к выводу о наличии на стороне общества неисполненной обязанности по оплате оказанных услуг и удовлетворили исковые требования компании.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«Монолевер-Трейд»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