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21 марта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кредитор обратился в суд с жалобой, в которой просил: обязать конкурсного управляющего должником Гвоздевского Александра Викторовича принять исчерпывающие меры по незамедлительному погашению образовавшейся, по состоянию на 31.03.2021, задолженности по текущим платежам перед ним в сумме 310 686 рублей 60 копеек; обязать конкурсного управляющего должником в дальнейшем самостоятельно производить расчёт задолженности по текущим платежам перед кредитором, исходя из размера 739 рублей 73 копейки дневной ставки текущих платежей, по день фактического исполнения решения Люблинского районного суда города Москвы от 03.10.2018, и ежемесячно, не позднее трёх рабочих дней следующих за окончанием календарного месяца, перечислять денежные средства на счет кредитора, не дожидаясь напоминания от кредитора или предъявления им требований в суд. Определением Арбитражного суда города Москвы от 30.06.2021, оставленным без изменения постановлениями Девятого арбитражного апелляционного суда от 23.09.2021 и Арбитражного суда Московского округа от 14.01.2022, в удовлетворении жалобы отказано. В кассационной жалобе, поданной в Верховный Суд Российской Федерации, заявитель просит отменить названные судебные акты и принять по делу новый судебный акт об удовлетворении жалобы. 2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Разрешая спор, суды, руководствуясь статьями 4, 5, 20.3, 60, 126 Федерального закона от 26.10.2002 № 127-ФЗ «О несостоятельности (банкротстве)», исходили из того, что заявленные требования кредитора не относятся к текущим платежам, в связи с чем отказали в удовлетворении жалобы. Выводы судов соответствуют нормам права, оснований для переоценки этих выводов по доводам жалобы не имеется. Несогласие заявителя с данными выводами судов, основанными на установленных фактических обстоятельствах дела и оценке доказательств, не свидетельствует о неправильном применении судами норм материального и процессуального права, повлиявшем на исход дела.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Бобрышеву Сергею Анатольевичу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