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недействительным решений, принятых на собрании кредиторов 16.06.2021 по всем вопросам повестки дня. Определением Арбитражного суда города Санкт-Петербурга и Ленинградской области от 20.11.2021 заявление удовлетворено. Постановлением Тринадцатого арбитражного апелляционного суда от 14.01.2022 данное определение отменено, в удовлетворении заявления отказано. В кассационной жалобе, поданной в Верховный Суд Российской Федерации, заявитель просят отменить постановление апелляционного суда,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апелляционный суд, руководствуясь частью 5 статьи 96 Арбитражного процессуального кодекса Российской Федерации, статьями 12, 71 Федерального закона «О несостоятельности (банкротстве)», исходили из того, что на момент принятия оспариваемых решений прекратилось действие ранее введённых обеспечительных мер в связи с рассмотрением требований кредиторов, предъявленных в установленный срок, в связи с чем не усмотрёл оснований для признании их недействительными как не повлекших нарушения прав кредитора, в том числе, во избежание необоснованного затягивания процедуры банкротства и несения дополнительных расходов. Выводы апелляционного суда соответствуют нормам права, основания для переоценки данных выводов по доводам жалобы отсутствуют.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«ПСО «Леноблстрой»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