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правопредшественник заявителя Фахретдинова Таскира Закуановна обратилась в суд с заявлением о признании недействительной сделкой соглашения о прекращении взаимных обязательств, оформленного зачётом встречных однородных требований, заключенного между должником и Расуловой Унисат Магомедовной; применении последствий недействительности сделки в виде возврата в конкурсную массу должника квартиры, расположенной по адресу: город Сургут, улица Энтузиастов, дом 17, квартира 16. Определением Арбитражного суда Ханты-Мансийского автономного округа – Югры от 22.12.2019, оставленным без изменения постановлениями Восьмого арбитражного апелляционного суда от 07.06.2021 и Арбитражного суда Западно-Сибирского округа от 16.11.2021,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181, 199 Гражданского кодекса Российской Федерации, статями 61.2, 61.4 Федерального закона от 26.10.2002 № 127-ФЗ «О несостоятельности (банкротстве)», установив, что имущественная сфера должника не претерпела каких-либо негативных последствий, пришли к выводу о недоказанности наличия причин для удовлетворения заявления. Суды также исходили из пропуска обратившимся с заявлением лицом срока исковой давности, что явилось самостоятельным основанием для отказа в удовлетворении заявленных требований.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Фахретдинову Марату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