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индивидуального предпринимателя Кадрычевой Валентины Владимировны (далее – специалист) для оказания юридических услуг в рамках процедуры конкурсного производства, утверждении лимита на оплату услуг специалиста за счёт имущества должника в размере 182 400 рублей. Определением Арбитражного суда Ростовской области от 04.08.2021, оставленным без изменения постановлениями Пятнадцатого арбитражного апелляционного суда от 09.10.2021 и Арбитражного суда Северо-Кавказского округа от 21.12.2021,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первой инстанции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статьей 20.3, 20.7, 129 Федерального закона от 26.10.2002 № 127-ФЗ «О несостоятельности (банкротстве)», пунктом 4 постановления Пленума Высшего Арбитражного Суда Российской Федерации от 17.12.2009 № 91 «О порядке погашения расходов по делу о банкротстве», исходили из недоказанности необходимости привлечения специалиста и увеличения лимита расходов на оплату его услуг, того объёма и сложности работы с дебиторской задолженностью, которые заявитель профессиональный антикризисный менеджер не могла осуществить самостоятельно. Выводы судов соответствуют нормам права, оснований для переоценки этих выводов по доводам жалобы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«Казачья управляющая компания» Солод Надежде Георгиевне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