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26.04.2021, оставленным без изменения постановлением Семнадцатого арбитражного апелляционного суда от 03.08.2021 и постановлением Арбитражного суда Уральского округа от 03.12.2021, с компании в пользу общества взыскано 37 895 руб. ущерба, 14 140 руб. расходов на оценку, в удовлетворении остальной части требований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2 и направить дело на новое рассмотрение в Арбитражный суд Удмуртской Республики.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с которыми впоследствии согласился суд округа, руководствовались статьями 15, 382, 388, 1064 Гражданского кодекса Российской Федерации, статьями 161, 162 Жилищного кодекса Российской Федерации и, исследовав и оценив по правилам статьи 71 Арбитражного процессуального кодекса Российской Федерации, исходили из доказанности обществом, получившим право требования на основании договора цессии, совокупности условий, необходимых для возложения на общество ответственности в виде возмещения убытков в размере, установленном заключением судебной экспертизы.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«Городская Управляющая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