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14.05.2021 в удовлетворении требований отказано. Постановлением Десятого арбитражного апелляционного суда от 05.08.2021 решение суда первой инстанции оставлено без изменения, производство по жалобе завода прекращено. Постановлением Арбитражного суда Московского округа от 23.11.2021 указанные судебные акты оставлены без изменения, производство по жалобе завода прекращено. Общество и завод просят обжалуемые судебные акты отменить, считая их незаконными и необоснованными. При изучении доводов жалоб и принятых по делу судебных актов оснований для передачи жалоб для рассмотрения в судебном заседании Судебной коллегии по экономическим спорам Верховного Суда Российской Федерации не установлено. Частью 5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правонарушения, ответственность за совершение которого 3 предусмотрена частью 5 статьи 15.25 Кодекса Российской Федерации об административных правонарушениях. Суды признали наличие вины общества в совершении вмененного правонарушения, указав на то, что им не были приняты все зависящие от него меры по соблюдению норм в области валютного регулирования. Процедура и срок давности привлечения к ответственности соблюдены. Признаков, характеризующих совершенное правонарушение как малозначительное и влекущих необходимость применения положений статьи 2.9 Кодекса Российской Федерации об административных правонарушениях, не установлено. При этом суды признали, что в рассматриваемом случае обжалуемые судебные акты не могут быть признаны принятыми о правах и обязанностях завода, поскольку ими не устанавливаются его права и на него не возлагаются какие-либо обязанности.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Приведенный обществом судебный акт, принятый в рамках гражданско- правового спора, подтверждает лишь факт того, что обязательства сторон (общества «Юнион Полимер Технолоджи» (исполнитель) и общества «Завод профессионального оборудования» (заказчик)) по договору от 01.11.2018 № 01/11/18-Д прекратились надлежащим исполнением (представлением технической документации), и не доказывают факт наличия отношений между обществом и иностранной организацией.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