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29.04.2021, оставленным без изменения постановлением Двадцатого арбитражного апелляционного суда от 12.07.2021 и постановлением Арбитражного суда Центрального округа от 25.11.2021, иск удовлетворен.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договор на оказание услуг по обращению с твердыми коммунальными отходами между сторонами заключен на условиях опубликованного типового договора; факт оказания обществом услуг в спорный период подтвержден; расчет стоимости услуг по обращению с твердыми коммунальными отходами произведен обществом с учетом установленного уполномоченным органом тарифа; доказательств оплаты оказанных услуг в полном объеме предпринимателем не представлено, руководствуясь статьями 435, 437, 438, 779, 781 Гражданского кодекса Российской Федерации, положениями Федерального закона от 24.06.1998 № 89-ФЗ «Об отходах производства и потребления»,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505, Правил обращения с твердыми коммунальными отходами и формой типового договора на оказание услуг по обращению с твердыми коммунальными отходами, утвержденных постановлением Правительства Российской Федерации от 12.11.2016 № 1156,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Малафеева Вячеслава Павловича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