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Арбитражного суда города Санкт-Петербурга и Ленинградской области от 19.05.2021, оставленным без изменения постановлением Тринадцатого арбитражного апелляционного суда от 04.08.2021 и постановлением Арбитражного суда Северо-Западного округа от 25.11.2021, исковые требования удовлетворены.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установив факт оказания компанией (региональный оператор) услуг по вывозу твердых коммунальных отходов, которые обществом (потребитель) не оплачены, руководствуясь статьями 309, 310, 329, 330, 779, 781, 783 Гражданского кодекса Российской Федерации, положениями Федерального закона от 24.06.1998 № 89-ФЗ «Об отходах производства и потребления», Правил обращения с твердыми коммунальными отходами и формой типового договора на оказание услуг по обращению с твердыми коммунальными отходами, утвержденных постановлением Правительства Российской Федерации от 12.11.2016 № 1156, суды первой и апелляционной инстанций пришли к выводу о наличии оснований для удовлетворения исковых требований. Суд округа поддержал выводы судов первой и апелляционной инстанций. Доводы заявителя со ссылкой на положения спорного договора были предметом рассмотрения судов и получили правовую оценку.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«Жилищное коммунальное товарищество»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