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07.05.2021, оставленным без изменения постановлением Девятого арбитражного апелляционного суда от 27.08.2021 и постановлением Арбитражного суда Московского округа от 16.12.2021, с общества в пользу департамента взыскано 2 447 570 руб. 21 коп. задолженности, 276 290 руб. 45 коп. пеней,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принимая во внимание, что заключенный между сторонами договор аренды нежилого помещения прекращен вступившим в законную силу судебным актом по иному делу, признав подтвержденным факт ненадлежащего исполнения обществом обязанности по внесению платежей за пользование имуществом в спорный период, учитывая отсутствие доказательств погашения обществом задолженности, не установив оснований для применения при расчете платы льготной ставки, руководствуясь статьями 196, 199, 200, 307, 309, 310, 606, 614 Гражданского кодекса Российской Федерации, суды первой и апелляционной инстанции частично удовлетворили исковые требования (с учетом пропуска истцом срока исковой давности по части взыскиваемого периода, о чем было заявлено ответчиком).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«Производственно-коммерческая фирма «ЮМВ»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