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Арбитражного суда Республики Татарстан от 01.07.2021, оставленным без изменения постановлением Одиннадцатого арбитражного апелляционного суда от 31.08.2021 и постановлением Арбитражного суда Поволжского округа от 10.12.2021, первоначальные исковые требования удовлетворены частично, с учреждения в пользу предпринимателя взыскано 398 492 руб. 69 коп. долга, 2 14 493 руб. 43 коп. процентов за пользование чужими денежными средствами, в остальной части требований отказано; встречные исковые требования удовлетворены частично, с предпринимателя в пользу учреждения взыскано 44 567 руб. 58 коп. убытков, 1159 руб. 82 коп. расходов по государственной пошлине, в остальной части требований отказано; произведен зачет удовлетворенных требований. В кассационной жалобе, поданной в Верховный Суд Российской Федерации, учреждение, ссылаясь на нарушение судами норм материального и процессуального права, просит отменить указанные судебные акты и принять по делу новый судебный акт.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предъявленные взаимные требования предпринимателя (подрядчик) и учреждения (заказчик) основаны на контракте от 29.05.2019 № 76, от исполнения которого последнее отказалось в одностороннем порядке. Исследовав и оценив по правилам статьи 71 Арбитражного процессуального кодекса Российской Федерации представленные в материалы дела доказательства, в том числе заключение судебной экспертизы, руководствуясь статьями 309, 310, 395, 425, 740, 743 Гражданского кодекса Российской Федерации, установив факт выполнения предпринимателем работ на заявленную сумму, наличие оснований для начисления процентов за пользование чужими денежными средствами и произведя их расчет, суды первой и апелляционной инстанций частично удовлетворили первоначальные исковые требования. Исходя из подтвержденности факта порчи предпринимателем при производстве работ имущества (уголков), установив, что стоимость устранения названных повреждений составила 44 567 руб. 58 руб., суды признали обоснованным встречный иск в данной части, отклонив требования учреждения в остальной части ввиду их недоказанности. Суд округа поддержал выводы судов первой и апелляционной инстанций. Доводы учреждения о несогласии с выводами судов и заключением судебной экспертизы свидетельствуют не о нарушениях судами норм материального права, повлиявших на исход дела, а о несогласии заявителя с установленными по делу фактическими обстоятельствами, были проверены судами и признаны необоснованными, направлены на переоценку 3 установленных по делу обстоятельств, что не входит в компетенцию Верховного Суда Российской Федерации. Поскольку существенных нарушений судами норм материального права и (или) норм процессуального права, повлиявших на исход дела, доводы кассационной жалобы не подтверждают, оснований для передачи жалобы для рассмотрения в судебном заседании Судебной коллегии Верховного Суда Российской Федерации не имеется.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муниципального бюджетного учреждения «Сабинская централизованная сельская клубная система»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