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09.08.2021, оставленным без изменения постановлением Двенадцатого арбитражного апелляционного суда от 08.10.2021, общество привлечено к административной ответственности по части 4 статьи 14.1 Кодекса Российской Федерации об 2 административных правонарушениях и ему назначено наказание в виде штрафа в размере 50 000 рублей. Постановлением Арбитражного суда Поволжского округа от 21.01.2021 указанные судебные акты оставлены без изменения. Общество обратилось в Верховный Суд Российской Федерации с кассационной жалобой на состоявшиеся по делу судебные акты,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основанием для составления протокола и обращения в арбитражный суд с соответствующим заявлением послужили выявленные административным органом факты, свидетельствующие о нарушении обществом лицензионных требований при осуществлении медицинской деятельности. Частью 4 статьи 14.1 Кодекса Российской Федерации об административных правонарушениях предусмотрена ответственность за осуществление предпринимательской деятельности с грубым нарушением требований и условий, предусмотренных специальным разрешением (лицензией). Оценив представленные доказательства, руководствуясь положениями Федерального закона от 04.05.2011 № 99-ФЗ «О лицензировании отдельных видов деятельности», Положением о лицензировании медицинской деятельности (за исключением указанной деятельности, осуществляемой медицинскими организациями и другими организациями, входящими в частную систему здравоохранения, на территории инновационного центра «Сколково»), утвержденным постановлением Правительства Российской Федерации от 16.04.2012 № 291, суды пришли к выводу о наличии в действиях общества состава правонарушения, ответственность за совершение которого 3 предусмотрена частью 4 статьи 14.1 Кодекса Российской Федерации об административных правонарушениях, установив факт оказания медицинской помощи с несоблюдением стандарта оснащения центра (лаборатории, отделения) и с нарушением порядка оказания медицинской помощи. Обществом не были приняты все зависящие от него меры к обеспечению соблюдения требований действующего законодательства, вина общества в совершении вмененного правонарушения доказана, срок давности привлечения к ответственности соблюден. Доводы, изложенные в жалобе, приводились при рассмотрении дела, получили надлежащую правовую оценку исходя из установленных обстоятельств,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не допущено.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