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02.07.2021 заявленное требование удовлетворено. 2 Постановлением Восьмого арбитражного апелляционного суда от 16.09.2021 решение суда первой инстанции отменено, принят новый судебный акт об отказе в удовлетворении требования. Арбитражный суд Западно-Сибирского округа постановлением от 13.12.2021 оставил без изменения постановление суда апелляционной инстанции. Общество обратилось в Верховный Суд Российской Федерации с кассационной жалобой, в которой выражает несогласие с решением суда первой инстанции в части выводов о наличии вины в действиях общества, а также просит отменить постановление апелляционного суда и постановление суда округа, считая их незаконными и необоснованными. При изучении доводов жалобы и принятых по делу судебных актов таких оснований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строительства объектов капитального строительства в отсутствие соответствующего разрешения. Удовлетворяя заявленные требования, арбитражный суд пришел к выводу о наличии в действиях общества события вменяемого ему административного правонарушения, вместе с тем счел, что административным органом допущено существенное нарушение порядка привлечения общества к административной ответственности, и признал незаконным оспариваемое постановление административного органа. Отменяя решение суда первой инстанции, оценив повторно представленные доказательства, руководствуясь положениями статей 1, 51 Градостроительного кодекса Российской Федерации, суд апелляционной инстанции сделал выводы о наличии в действиях общества состава правонарушения, ответственность за совершение которого предусмотрена частью 1 статьи 9.5 КоАП РФ, соблюдении административным органом срока давности и порядка привлечения к административной ответственности, с чем согласился суд округа. 3 При этом суды исходили из того, что возводимые обществом объекты не являются вспомогательными по отношению к ТЦ «Нефтянник», поскольку имеют одинаковую с ним функцию, не предназначены для его обслуживания и эксплуатации, могут самостоятельно использоваться (фактически происходит расширение площадей названного торгового центра). Обстоятельства соблюдения административным органом процедуры привлечения общества к административной ответственности были подробно исследованы судом апелляционной инстанции, в связи с чем доводы заявителя об обратном не нашли своего подтверждения. Иные доводы жалобы сводятся к несогласию с выводами судов относительно наличия вмененного правонарушения,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Доводов, подтверждающих существенные нарушения норм материального и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