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24.05.2021, оставленным без изменения постановлением Десятого арбитражного апелляционного суда от 03.08.2021, в удовлетворении иска отказано. 2 Постановлением Арбитражного суда Московского округа от 26.11.2021 указанные судебные акты оставлены без изменения. Истец просит отменить обжалуемые судебные акты, считая их принятыми с существенным нарушением норм материального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исковые требования мотивированы возникновением у общества убытков в виде расходов на получение банковской гарантии и упущенной выгоды в связи с действиями ответчиков по размещению на электронной площадке недостоверных сведений о сроках заключения договора по результатам проведенного аукциона и последующее признание истца уклонившимся от заключения такого договора. Отказывая в удовлетворении требований, оценив представленные доказательства и установив, что общество по причине непроявления им должной осмотрительности пропустило срок на заключение договора по итогам проведенного аукциона, руководствуясь положениями статей 15, 393 Гражданского кодекса Российской Федерации,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3 Российской Федерации»,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учитывая, что решением от 21.07.2020 по делу № 50/70/28033/20 Управление Федеральной антимонопольной службы по Московской области признало действия предприятия в части составления протокола в отношении общества об уклонении от подписания договора не противоречащими положениям Федерального закона от 18.07.2011 № 223-ФЗ «О закупках товаров, работ, услуг отдельными видами юридических лиц», суды пришли к выводу об отсутствии причинно-следственной связи между действиями ответчиков и возникшими у истца убытками. Обжалуя судебные акты в Верховный Суд Российской Федерации, общество приводит доводы, которые являлись предметом рассмотрения судов и получили правовую оценку с учетом установленных обстоятельств дела. Доводы истца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истца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Учитывая изложенное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