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12.04.2021, оставленным без изменения постановлением Тринадцатого арбитражного апелляционного суда от 16.08.2021, в иске отказано. Постановлением Арбитражного суда Северо-Западного округа от 22.12.2021 указанные судебные акты оставлены без изменения. Общество «ГарантГеоПроект»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931, 942, 943 Гражданского кодекса Российской Федерации, статьи 9 Закона Российской Федерации от 27.11.1992 № 4015-1 «Об организации страхового дела в Российской Федерации», суды в иске о взыскании страхового возмещения по договору страхования гражданской ответственности членов саморегулируемых организаций на случай причинения вреда вследствие недостатков работ отказали, не признав случай страховым и не установив оснований для выплаты страхового возмещения. Доводы жалобы были предметом исследования судов и получили исчерпывающую правовую оценку в обжалуемых судебных актах с учетом причин и характера возникновения ущерба, не согласиться с которой оснований не имеется. Заявитель не доказал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3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