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15.10.2021, оставленным без изменения постановлением Пятого арбитражного 2 апелляционного суда от 22.11.2021, заявление возвращено на основании пункта 1 части 1 статьи 129 Арбитражного процессуального кодекса Российской Федерации. Постановлением Арбитражного суда Дальневосточного округа от 28.12.2021 указанные судебные акты оставлены без изменения. Приходько Ю.В. в жалобе просит названные судебные акты отменить, считая, что дело относится к компетенции арбитражного суда.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по доводам жалобы не установлено. При этом, как следует из картотеки арбитражных дел сервиса Электронное правосудие, аналогичное заявление Приходько Ю.В. определением от 22.01.2022 принято к производству Арбитражным судом Приморского края в рамках дела № А51-898/2022, что, по сути, совпадает с тем правовым результатом, которого добивался заявитель при обращении в Верховный Суд Российской Федерации с кассационной жалобой. Таким образом, заявитель не лишен возможности реализовать гарантированное статьей 46 Конституции Российской Федерации право на судебную защиту.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 3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