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27.05.2021, оставленным без изменения постановлением Седьмого арбитражного апелляционного суда от 10.08.2021, в удовлетворении требования отказано. Постановлением Арбитражного суда Западно-Сибирского округа от 26.11.2021 указанные судебные акты оставлены без изменения. 2 Общество просит отменить обжалуемые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54.1, 169, 171, 172, 246, 247, 252 Налогового кодекса Российской Федерации, с учетом разъяснений Пленума Высшего Арбитражного Суда Российской Федерации, изложенных в постановлении от 12.10.2006 № 53 «Об оценке арбитражными судами обоснованности получения налогоплательщиком налоговой выгоды», суды отказали в удовлетворении требования, признав, что обществом создан формальный документооборот с контрагентами в отсутствие реальных хозяйственных операций, представленные документы содержат недостоверные сведения. Выводы судов не противоречат правовой позиции, изложенной в определении Судебной коллегии по экономическим спорам Верховного Суда Российской Федерации от 19.05.2021 № 309-ЭС20-23981, пункте 39 Обзора судебной практики Верховного Суда Российской Федерации № 3 (2021) (утв. Президиумом ВС РФ 10.11.2021). 3 Приведенные в жалобе доводы связаны с оценкой доказательств и установлением фактических обстоятельств по делу, что не относится к компетенции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Ходатайство о проведении видеоконференц-связи подлежит оставлению без удовлетворения, поскольку судья Верховного Суда Российской Федерации изучает кассационную жалобу по приложенным к ней материалам без вызова сторон. Кассационная жалоба вместе с делом рассматривается в судебном заседании Судебной коллегии Верховного Суда Российской Федерации в случае установления судьей оснований для передачи такой жалобы вместе с делом для рассмотрения в судебном заседании Судебной коллегии Верховного Суда Российской Федерации и вынесения определения о передаче жалобы Суда Российской Федерации. В данном случае таких оснований не установлено.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