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«Газпромбанк Лизинг» обратилось в Арбитражный суд города Москвы с иском о взыскании с общества с ограниченной ответственностью «Торговый дом «Смоленские машины» 1 014 085 рублей в счет возмещения потерь. Решением Арбитражного суда города Москвы от 14.04.2021 иск удовлетворен. Постановлением Девятого арбитражного апелляционного суда от 10.08.2021 решение суда первой инстанции оставлено без изменения. Арбитражный суд Московского округа постановлением от 23.11.2021 указанные судебные акты оставил без изменения. Общество с ограниченной ответственностью «Торговый дом «Смоленские машины»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установив, что условиями договора предусмотрено возмещение ответчиком (продавцом) истцу (покупателю) имущественных потерь в случае предъявления грузополучателем (лизингополучателем) требования об уплате штрафных санкций по договору лизинга, связанных с ненадлежащим исполнением продавцом обязательств по поставке имущества, признав недоказанным факт надлежащего исполнения продавцом обязательств по поставке предмета лизинга, учитывая оплату истцом пени за нарушение сроков поставки техники, руководствуясь положениями статей 309, 310, 406.1 Гражданского кодекса Российской Федерации, разъяснениями, изложенными в пункте 15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причинной связи между наступлением соответствующего обстоятельства и потерями истца. Доводы жалобы, с учетом установленных фактических обстоятельств дела, выводы судов не опровергают. Несогласие заявителя кассационной жалобы с выводами судов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3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«Смоленские машины»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