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19.04.2021, оставленным без изменения постановлением Семнадцатого арбитражного апелляционного суда от 10.08.2021 и постановлением Арбитражного суда Уральского округа от 12.11.2021, заявления должника удовлетворены в части, касающейся находящихся в реестре требований. В кассационной жалобе Амелина Н.Н. и Амелина М.М. просят об отмене судебных актов, ссылаясь на игнорирование судами довода об истечении срока исковой давности для обращения взыскания на переданное в залог не должником по заемному обязательству имущество, фактическое изменение содержащихся в реестре требований, противоречия в судебных актах, принятых в деле и банкротстве и судами общей юрисдикции по иску об исполнении заемных обязательств, неправомерную реализацию предмета залога.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Все доводы рассматриваемой жалобы оценены судами в пределах настоящего спора и в ранее рассмотренных в рамках дела о банкротстве спорах, судебные акты по которым вступили в законную силу. Суды установили несогласие должника с обращением взыскания на квартиру, указав при этом, что залог основан на заключенном должником в обеспечение обязательств заемщика договоре залога, взыскание на квартиру обращено судом общей юрисдикции, исполнительное производство в отношении решения которого прекращено в связи возбуждением дела о банкротстве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Амелиной Н.Н. и Амелиной М.М.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