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актов взаимозачёта от 09.01.2020 № 4 на сумму 23 926 053 рубля 56 копеек и № 6 на сумму 2 697 960 рублей 02 копейки, совершённых между должником и обществом. Определением Арбитражного суда Пензенской области от 11.08.2020, оставленным без изменения постановлениями Одиннадцатого арбитражного апелляционного суда от 20.10.2021 и Арбитражного суда Поволжского округа от 21.12.2021, заявление удовлетворено, применены последствия недействительности сделок в виде восстановления взаимных прав требований на сумму 26 624 013 рублей 58 копеек.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19, 61.1-61.3 и 61.6 Федерального закона от 26.10.2002 № 127-ФЗ «О несостоятельности (банкротстве)», установив совершение сделок заинтересованными лицами в преддверии банкротства должника, при наличии признаков несостоятельности последнего, пришли к выводу об обоснованности заявления, указав на следствие сделки – предпочтительное удовлетворение требований общества перед другими кредиторами должника и нарушение прав должника на взыскание дебиторской задолженности, правомерно применив последствия недействительности сделок.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«Научно-производственное предприятие «Химмаш-старт»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