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10.08.2021, оставленным без изменения постановлением Девятого арбитражного апелляционного суда от 17.09.2021 и постановлением Арбитражного суда Московского округа от 27.12.2021, заявление удовлетворено. В кассационной жалобе Ничутина Т.В. просит об отмене судебных актов, ссылаясь на игнорирование доказательств неправильного расчета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Довод об игнорировании представленных доказательств неправильного расчета требований опровергается исследованием и оценкой судом первой инстанции возражений должника, в том числе касающихся применения процентной ставки за пользование кредитом в связи со страхованием предмета залога.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Ничутиной Т.В.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