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Вологодской области от 17.03.2021, оставленным без изменения постановлением Четырнадцатого арбитражного апелляционного суда от 02.07.2021 и постановлением Арбитражного суда Северо-Западного округа от 18.11.2021, в удовлетворении иска отказано. 2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Вологодской области.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Разрешая спор и отказывая в удовлетворении иска, суды первой и апелляционной инстанций, с которыми впоследствии согласился суд округа, руководствовались статьями 450, 451 Гражданского кодекса Российской Федерации, положениями Федерального закона от 21.07.2005 № 115-ФЗ «О концессионных соглашениях»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пришли к выводу о том, что ограничительные меры, введенные в целях предупреждения распространения новой коронавирусной инфекции, применительно к обязательству о реконструкции объектов в соответствии с условиями спорного соглашения не являются обстоятельствами, препятствовавшими осуществлению деятельности по исполнению условий соглашения, и не соответствуют критериям, являющимся в соответствии со статьей 451 Гражданского кодекса Российской Федерации основанием для изменения предусмотренного пунктом 8.2 соглашения условия о сроке реконструкции объектов.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3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Баграмян Жанны Оганнесовны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