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29.04.2021, оставленным без изменения постановлением Тринадцатого арбитражного апелляционного суда от 07.07.2021 и постановлением Арбитражного суда Северо-Западного округа от 17.11.2021,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2 права, просит отменить указанные судебные акты и принять по делу новый судебный акт об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общества (покупатель) мотивированы нарушением компанией (поставщик) требований к качеству товара, поставленного по договору поставки от 14.04.2020 № 259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истолковав условия договора по правилам статьи 431 Гражданского кодекса Российской Федерации, суды первой и апелляционной инстанций пришли к выводу о том, что предусмотренный условиями договора гарантийный срок по качеству и скрытым дефектам (90 дней) неприменим к выявленному обществом дефекту в виде деформации товара, который носит явный характер, относится к видимым характеристикам и мог быть обнаружен при изначальной приемке товара. Установив, что на момент направления обществом претензии в адрес компании срок на предъявление недостатков, носящих явный характер, согласно условиям договора истек, отметив, что заявленные недостатки товара не могут быть идентифицированы и отнесены с товаром, поставленным компанией в спорный период, руководствуясь статьями 421, 458, 469, 475, 476, 506, 509, 513, 518, 523 Гражданского кодекса Российской Федерации, суды не усмотрели оснований для удовлетворения исковых требований. Суд округа поддержал выводы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3 доказательств по делу и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«Таргет»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