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01.06.2021, оставленным без изменения постановлением Семнадцатого арбитражного апелляционного суда от 26.08.2021 и постановлением Арбитражного суда Уральского округа от 18.11.2021, заявление удовлетворено: проценты установлены в размере 234 612 рублей. В кассационной жалобе Амелина Н.Н. и Амелина М.М. просят об отмене судебных актов, ссылаясь на преждевременное взыскание процентов и отсутствие на них права в связи с незаконной организацией торгов в процедуре банкротства, игнорирование судами довода в об истечении срока исковой давности для обращения взыскания на предмет залога, изменение содержащихся в реестре требований, отсутствие у должника признаков банкротства в связи с неустановленим обязанности отвечать по долгам заемщика.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финансовым управляющим обязанности по продаже заложенного имущества и в отсутствие основания для уменьшения вознаграждения удовлетворили заявление в силу статей 20.6, 213.9, 213.27 Федерального закона от 26.10.2002 № 127-ФЗ «О несостоятельности (банкротстве)». Доводы кассационной жалобы не имеют отношения к предмету рассматриваемого спора и не составляют оснований для кассационного пересмотра принятых по нему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Амелиной Н.Н. и Амелиной М.М.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