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Рязанской области от 14.04.2021, оставленным без изменения постановлением Двадцатого арбитражного апелляционного суда от 21.07.2021 и постановлением Арбитражного суда Центрального округа от 17.11.2021, в удовлетворении исковых требований отказано. В кассационной жалобе, поданной в Верховный Суд Российской Федерации, общество, ссылаясь на незаконность указанных судебных актов, 2 просит их отменить и направить дело на новое рассмотрение в Арбитражный суд Рязанской области.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Как следует из судебных актов, компания (заказчик) и общество (подрядчик) заключили договор подряда от 21.04.2015 № МЦ/204-2015 (далее – договор), к которому впоследствии подписали ряд дополнительных соглашений. Ссылаясь на ненадлежащее исполнение заказчиком обязанности по оплате выполненных основных и дополнительных работ, подрядчик обратился в арбитражный суд с настоящим иском. Исследовав и оценив по правилам статьи 71 Арбитражного процессуального кодекса Российской Федерации представленные в материалы дела доказательства, проанализировав условия договора и дополнительных соглашений к нему, руководствуясь статьями 160, 307, 702, 709, 740, 743, 753 Гражданского кодекса Российской Федерации, суды первой и апелляционной инстанций не усмотрели оснований для удовлетворения исковых требований. При этом, установив, что выполненные подрядчиком и принятые заказчиком по двусторонним актам основные работы оплачены последним в полном объеме, суды пришли к выводу об отсутствии у ответчика задолженности по оплате работ, выполненных истцом в рамках договора. Исходя из отсутствия доказательств согласования сторонами выполнения дополнительных работ, не являющихся предметом договора и дополнительных соглашений к нему, заключения ими дополнительного соглашения об изменении установленной цены договора, неотложного характера дополнительных работ, а также фактического выполнения дополнительных работ на заявленную сумму, суды отказали в удовлетворении требования истца о взыскании неосновательного обогащения. Суд округа поддержал выводы судов первой и апелляционной инстанций. Доводы кассационной жалобы были предметом рассмотрения судов и получили правовую оценку, не опровергают выводы судов, направлены на переоценку обстоятельств дела, установленных судами,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3 для передачи жалобы для рассмотрения в судебном заседании Судебной коллегии Верховного Суда Российской Федерации.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«РусСтрой»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