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06.05.2021, оставленным без изменения постановлением Восемнадцатого арбитражного апелляционного суда от 22.07.2021, заявленные требования удовлетворены частично, оспариваемое решение признано недействительным в части доначисления налога на добавленную стоимость в сумме 1 190 344 рублей, пени в сумме 475 727,48 рублей, штрафа по пункту 3 статьи 122 Налогового кодекса Российской Федерации в сумме 9 058 рублей, налога на прибыль организаций в сумме 1 305 703 рублей, пени в сумме 637 533,29 рублей, штрафа по пункту 3 статьи 122 Налогового кодекса Российской Федерации в сумме 53 488 рублей, в остальной части в удовлетворении требований отказано. Постановлением Арбитражного суда Уральского округа от 22.11.2021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 в части отказа в удовлетворении заявленных требований, считая их принятыми с существенным нарушением норм материального и процессуального права в указанной части.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3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146, 171, 247, 252, 265 Налогового кодекса Российской Федерации, а также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заявленных требований в обжалуемой части, признав, что налоговым органом собрано достаточно доказательств, свидетельствующих о направленности действий общества на получение необоснованной налоговой выгоды путем создания схемы дробления бизнеса путем применения специальных режимов налогообложения с вовлечением подконтрольных лиц.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обстоятельствам, свидетельствующим о том, что деятельность общества и контрагентов является частью единого процесса, направленного на достижение общего экономического результата.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