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26.05.2021, оставленным без изменения постановлением Десятого арбитражного апелляционного суда от 28.07.2021 и постановлением Арбитражного суда Московского округа от 16.11.2021, заявление удовлетворено. В кассационной жалобе Еремеев П.В. просит об отмене судебных актов, ссылаясь на игнорирование судами наличия у спорной квартиры статуса единственного пригодного для проживания семьи должника жилья, непривлечение к участию в деле законного представителя одаряемой, недоказанность законных оснований для признания договора дарения недействительным.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условия для признания сделки недействительной в силу пункта 2 статьи 61.2 Федерального закона от 26.10.2002 № 127-ФЗ «О несостоятельности (банкротстве)». Вопрос об исполнительском иммунитете у квартиры разрешается после возврата ее в конкурсную массу по самостоятельному заявлению. Довод кассационной жалобы об оставлении без защиты несовершеннолетней одаряемой неоснователен, учитывая привлечение к участию в споре органа опеки и попечительства и несение должником законных обязанностей по отношению к дочери.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Еремееву П.В.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