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порядок и срок подачи кассационных жалоб в Судебную коллегию Верховного Суда Российской Федерации на вступившие в законную силу судебные акты арбитражных судов регламентирован статьями 291.1 и 291.2 Арбитражного процессуального кодекса Российской Федерации (далее – АПК РФ). В соответствии с частями 1, 2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общества о восстановлении пропущенного срока подачи кассационной жалобы мотивировано поздним получением заверенных копий судебных актов по настоящему делу, а также невозможностью подготовки жалобы по причине резкого увеличения заболеваемости коронавирусной инфекцией. Однако данные обстоятельства суд не может признать в качестве уважительных причин пропуска процессуального срока на кассационное обжалование. Ненадлежащая организация деятельности юридического лица является риском самого юридического лица, и все неблагоприятные последствия такой ненадлежащей организации своей деятельности несет само юридическое лицо.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 этом предусмотренный процессуальным законодательством срок для обращения с кассационной жалобой в Верховный Суд Российской Федерации включает, в том числе время на получение заверенных надлежащим образом копий судебных актов, время на подготовку и направление кассационной жалобы. Как усматривается из принятых по делу судебных актов, заявитель являлся инициатором обжалования судебных актов судов первой и апелляционной инстанций, постановление суда округа от 21.12.2021 своевременно опубликовано на официальном сайте в информационно- телекоммуникационной сети «Интернет». Зная о результатах рассмотрения кассационной жалобы и имея намерение обжаловать принятые по настоящему делу судебные акты, заявитель имел реальную возможность ознакомиться с постановлением суда округа и обжаловать судебные акты в установленный процессуальным законодательством срок.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3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Руководствуясь статьями 117, 184, 185, 291.2, 291.5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«Метрол»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