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17.05.2021, оставленным без изменения постановлением Восемнадцатого арбитражного апелляционного суда от 13.08.2021 и постановлением Арбитражного суда Уральского округа от 15.11.2021,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компании (агент) мотивированы ненадлежащим исполнением обществом (принципал) обязательств по агентскому договору от 02.04.2018 № 004270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факт перечисления обществом в пользу компании денежных средств в размере 590 901 руб. 50 коп., отсутствие доказательств обращения общества к компании с требованием о возврате указанной денежной суммы, суды первой и апелляционной инстанций пришли к выводу о взаимном исполнении сторонами условий договора и, как следствие, его заключенности. Установив, что обществом не представлено доказательств перечисления компании оставшейся части прибыли, полученной в рамках исполнения договора, руководствуясь статьями 8, 307, 432, 434, 1005, 1006 Гражданского кодекса Российской Федерации, суды пришли к выводу о наличии оснований для удовлетворения исковых требований. Суд округа поддержал выводы судов первой и апелляционной инстанций. Довод заявителя о рассмотрении дела с нарушением правил подсудности не может быть принят во внимание, поскольку данный довод не заявлялся в порядке, установленном Арбитражным процессуальным кодексом Российской Федерации при рассмотрении дела в суде первой инстанции, и не приводился при обжаловании решения суда в апелляционной инстанции. Иные доводы заявителя были предметом исследования судов и отклонены применительно к установленным судами обстоятельствам дела и имеющимся в деле доказательства. Поскольку приведенные в кассационной жалобе доводы существенных нарушений норм материального и процессуального права, повлиявших на исход дела, не подтверждают,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«Пин Тур Урал»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