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31.05.2021, оставленным без изменения постановлением Девятого арбитражного апелляционного суда от 03.08.2021 и постановлением Арбитражного суда Московского округа от 10.12.2021, в удовлетворении иска отказано. В кассационной жалобе акционерное общество «Российские железные дороги» просит об отмене судебных актов, ссылаясь на договорный характер оказанной ответчику услуги, исключающий применение регулируемой цены на нее.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установив, что в отношении спорной услуги действует регулируемая цена, признали отсутствие у сторон правомочий на согласование в договоре от 14.10.2016 № 3/16-121 иной цены и правомерно отказали в иске, основанном на договорном условии о цене. Выводы судов соответствуют статье 424 Гражданского кодекса Российской Федерации, статье 39 Федерального закона от 10.01.2003 № 18-ФЗ «Устав железнодорожного транспорта Российской Федерации», приказу Федеральной службы по тарифам России от 29.04.2015 № 127-т/1 и сложившейся судебной практике. Иная оценка характера услуги и порядка установления цены на нее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