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19.05.2021, оставленным без изменения постановлением Девятого арбитражного апелляционного суда от 17.08.2021 и постановлением Арбитражного суда Московского округа от 17.11.2021, в удовлетворении иска отказано. В кассационной жалобе общество «Шацкий свинокомплекс» просит об отмене судебных актов, ссылаясь на неосновательное при расчете сальдо встречных обязательств придание приоритета цене реализации предмета лизинга над определенной оценщиком ценой, нерассмотрение апелляционным судом дополнения к апелляционной жалобе.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по жалобы не усматривается. Недобросовестности лизингодателя в вопросе реализации изъятой сельхозтехники суды не установили, поэтому для определения сальдо встречных требований учли цену реализации предметов лизинга (пункт 4 постановления Пленума Высшего Арбитражного Суда Российской Федерации от 14.03.2014 № 17). В период рассмотрения апелляционной жалобы дело № А54-5158/2016 Арбитражного суда Рязанской области не было рассмотрено по существу, поэтому суд не мог учитывать касающееся указанного дела дополнения к апелляционной жалобе.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«Шацкий свинокомплекс»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