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19.04.2021, оставленным без изменения постановлением Четырнадцатого арбитражного апелляционного суда от 08.07.2021, иск удовлетворен частично, с учреждения в пользу общества взыскано 591 766,65 рублей, в остальной части в иске отказано. 2 Постановлением Арбитражного суда Северо-Западного округа от 29.11.2021 указанные судебные акты оставлены без изменения. Общество просит отменить обжалуемые судебные акты, считая их незаконными и необоснованными, направить дело на новое рассмотрение в суд первой инстанции.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Оценив представленные доказательства, руководствуясь положениями статей 309, 310, 431, 716, 779 Гражданского кодекса Российской Федерации,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удовлетворили иск частично, признав правомерным начисление неустойки в связи с ненадлежащим выполнением обществом обязательств по контракту и ее удержание из стоимости выполненных работ, однако снизили размер неустойки на основании статьи 333 Гражданского кодекса Российской Федерации. Доводы жалобы, в том числе, относительно несогласия с оценкой качества оказания услуг за спорный период и определением общего процента нарушений получили исчерпывающую правовую оценку в обжалуемых судебных актах, не согласиться с которой оснований не имеется.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