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30.04.2021 заявление финансового управляющего удовлетворено. Постановлением Десятого арбитражного апелляционного суда от 28.07.2021 определение от 30.04.2021 отменено, в удовлетворении заявления отказано. Постановлением Арбитражного суда Московского округа от 17.11.2021 постановление апелляционного суда от 28.07.2021 отменено, определение суда первой инстанции от 30.04.2021 оставлено в силе. В кассационной жалобе Евстигнеев А.В. просит об отмене определения и постановления окружного суда, ссылаясь на отсутствие условий для признания договора недействительным по общим нормам гражданского законодательства и пропуск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Дарение имущества сыну при наличии неисполненных денежных обязательств, признано судом первой инстанции выходящим за пределы осуществления гражданских прав и влекущим последствия в виде недействительности дарения в силу статьей 10, 168 Гражданского кодекса Российской Федерации и возврата имущества в конкурсную массу. На признание сделки недействительной в силу указанных норм распространяется установленный пунктом 1 статьи 181 Гражданского кодекса Российской Федерации срок исковой давности. При отсутствии у апелляционного суда оснований для иных выводов в отношении тех же обстоятельств окружной суд отменил апелляционное постановление в соответствии с компетенцией, предусмотренной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Евстигнееву Александру Вячеславовичу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