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11.06.2021, оставленным без изменения постановлением Девятого арбитражного апелляционного суда от 03.09.2021 и постановлением Арбитражного суда Московского округа от 25.11.2021, в удовлетворении заявления отказано. В кассационной жалобе общество просит об отмене судебных актов, ссылаясь на формальное исследование обстоятельств совершения сделки, допущение преимущества общих норм над специальными.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совершения оспариваемого договора применительно к заявленным основаниям его недействительности (статьям 10, 168, 170 Гражданского кодекса Российской Федерации) и признали их не создающими условий для недействительности в силу указанных норм. Довод о неплатежеспособности должника в период заключения договора обсужден судами, отклонен как не подтвержденный и, соответственно, не составляющий оснований для кассационного пересмотра судебных актов. Судебные акты, принятые в отношении других сделок, не имеют преюдициального значения для рассматриваемого спора.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«Четвертое специализированное юридическое бюро»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