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17.05.2021 в удовлетворении иска отказано. Постановлением Тринадцатого арбитражного апелляционного суда от 19.08.2021 решение суда первой инстанции отменено, с учреждения в пользу общества взыскано 3 591 000 рублей задолженности и 132 537 рублей 84 копейки пеней. В удовлетворении остальной части иска отказано. Арбитражный суд Северо-Западного округа постановлением от 24.11.2021 постановление суда апелляционной инстанции оставил без изменения. 2 В кассационной жалобе, поданной в Верховный Суд Российской Федерации, учреждение, ссылаясь на существенные нарушения норм права, несоответствие выводов судов фактическим обстоятельствам дела,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(исполнитель) и учреждением (заказчик) заключен государственный контракт на оказание услуг, связанных с содержанием, обслуживанием нефинансовых активов – техническим обслуживанием и поддержкой функционирования монорельсовой транспортной системы «Телелифт» для обеспечения доставки книг из хранилищ, интегрированной с системой автоматизации библиотечных процессов, основанной на использовании технологий радиочастотной идентификации (RFID). Неоплата фактически оказанных услуг за период с мая по июнь 2020 года послужила основанием для обращения общества в арбитражный суд. Отказывая в удовлетворении иска, суд первой инстанции исходил из отсутствия доказательств оказания обществом услуг на заявленную сумму. Отменяя решение суда первой инстанции, суд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309, 310, 330, 779, 781 Гражданского кодекса Российской Федерации, пришел к выводу о том, что спорные услуги в действительности были оказаны исполнителем, в связи с чем удовлетворил требования общества в части взыскания задолженности и неустойки. При этом суд апелляционной инстанции учел, что оказание конкретных услуг и работа с оборудованием подтверждаются, в том числе записями в журнале обслуживания монорельсовой транспортной системы, где раскрыты конкретные работы с оборудованием, дата их проведения; в журнале имеются подписи лица, принявшего работы; выводы эксперта, изложенные в заключении, с целью установления факта надлежащего/ненадлежащего исполнения обществом обязательств по контракту; работа системы ведется в 3 непрерывном автоматическом режиме, контроль за которым осуществляет работник исполнителя удаленно. Суд округа поддержал выводы суда апелляционной инстанции. Выводы судов в части отказа в удовлетворении иска общества учреждением не оспариваются. Доводы кассационной жалобы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«Российская национальная библиотека»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