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29.06.2021, оставленным без изменения постановлением Девятого арбитражного апелляционного суда от 30.08.2021 и постановлением Арбитражного суда Московского округа от 29.11.2021, иск удовлетворен. В кассационной жалобе авиакомпания просит об отмене судебных актов, ссылаясь на нарушение подсудности, неправомерное применение срока исковой давности, недоказанность неиспользования услуги.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решения суда первой инстанции не следует, что авиакомпания выносила на обсуждение вопросы о подсудности и применимом праве до начала рассмотрения спора по существу, поэтому следует считать спор рассмотренным по установленной подсудности, а авиакомпанию лишенной права ссылаться на подсудность при обжаловании решения. Суды установили, что объединение просит возвратить сумму, перечисленную в рамках действовавшего между сторонами корпоративного соглашения, которое не является договором перевозки, в связи с чем доводы авиакомпании о неосновательном неприменении Воздушного кодекса Российской Федерации и необходимости применения отличного от срока исковой давности (статья 196 Гражданского кодекса Российской Федерации) срока предъявления требования о возврате денежных средств неосновательны. Неиспользование объединением услуги на спорную сумму установлено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авиакомпании «Чешские аэролинии, АО»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