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30.04.2021 требование в размере 4 263 200 рублей 09 копеек включено в третью очередь реестра. Десятый арбитражный апелляционный суд постановлением от 19.07.2021 отменил определение от 30.04.2021 и в удовлетворении заявления отказал. Арбитражный суд Московского округа постановлением от 16.11.2021 постановление апелляционного суда от 19.07.2021 оставил без изменения. В кассационной жалобе Денисова С.Ю. просит об отмене судебных актов апелляционного и окружного судов, ссылаясь на неправильную оценку доказательств финансовой состоятельности заимодавца, реального характера обязательства и отсутствия аффилированности кредитора 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оценил представленные в обоснование передачи денежных средств доказательства с учетом критериев, предъявляемых статьями 71, 100 Федерального закона от 26.10.2002 № 127-ФЗ «О несостоятельности (банкротстве)» 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установления требований к находящемуся в банкротстве должнику, и не признал спорное требование отвечающим таким критериям. Иная оценка кредитором доказательств носит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Денисовой С.Ю.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