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Свердловской области от 05.05.2021, оставленным без изменения постановлением Семнадцатого арбитражного апелляционного суда от 30.08.2021 и постановлением Арбитражного суда Уральского округа от 23.11.2021, ходатайство об исключении имущества из конкурсной массы должника удовлетворено, в удовлетворении заявления Ровского А.Н. отказано. В кассационной жалобе Ровский А.Н. просит об отмене судебных актов, ссылаясь на неподтвержденность выводов судов.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Вывод судов о недоказанности расходования на нужды семьи должника включенных в реестр полученных от кредитора денежных средств основан на установленных обстоятельствах рассматриваемого спора и не противоречит статье 45 Семейного кодекса Российской Федерации, статьям 213.8, 213.19, 213.24, 213.25, Федерального закона от 26.10.2002 № 127-ФЗ «О несостоятельности (банкротстве)» и судебной практике.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Ровскому А.Н.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