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06.07.2021, оставленным без изменения постановлением Семнадцатого арбитражного апелляционного суда от 22.09.2021 и постановлением Арбитражного суда Уральского округа от 20.12.2021, заявление банка признано обоснованным, в отношении должника введена процедура реструктуризации долгов, утвержден финансовый управляющий, заявленные банком требования включены в третью очередь реестра как обеспеченные залогом за исключением задолженности по кредитному договору № OV132605033 от 18.09.2013 в размере 5 284 916 рублей 37 копеек. В кассационной жалобе банк просит об отмене судебных актов в части не включенного в реестр требования, ссылаясь на непрекращение обязательства вследствие истечения срока на предъявление исполнительного листа к исполнению и незаконный отказ во включении требования в реестр по такому основанию.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Установленный судами пропуск рока для предъявления исполнительного листа к исполнению исключает понуждение к исполнению обязательства в судебном порядке, к которому прибегает банк в отношении спорного требования. Иное толкование норм права не опровергает законности судебных актов и не составляет оснований для их пересмотра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Интеза»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