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требований общества с ограниченной ответственностью «ИБ-Инвест» (далее – общество) подлежащими погашению в очерёдности, предшествующей распределению ликвидационной квоты. Определением Арбитражного суда города Москвы от 29.06.2021, оставленным без изменения постановлениями Девятого арбитражного апелляционного суда от 02.09.2021 и Арбитражного суда Московского округа от 24.11.2021,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отзыва общества на неё таких оснований не установлено. Разрешая спор, суды руководствовались положениями статьи 138 Федерального закона от 26.10.2002 № 127-ФЗ «О несостоятельности (банкротстве)», позицией, изложенной в пункте 3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от 29.01.2020, исходили из недоказанности оснований для субординации требований общества.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корпорации развития «ВЭБ.РФ»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