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28.07.2021, оставленным без изменения постановлением Восемнадцатого арбитражного апелляционного суда от 30.09.2021, первоначальный и встречный иски удовлетворены. В результате зачета взысканных сумм с общества «Уральская транспортная компания» в пользу акционерного общества «Федеральная грузовая компания» взыскано 562 425 рублей 29 копеек штрафа. 2 Арбитражный суд Уральского округа постановлением от 09.12.2021 решение 28.07.2021 и постановление Восемнадцатого арбитражного апелляционного суда от 30.09.2021 оставил без изменения. В кассационной жалобе общество «Уральская транспортная компания» просит об отмене судебных актов, ссылаясь на ничтожность договорного условия о неустойке как исключающего законный отказ от исполнения договора оказания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Порядок отказа от получения вагонов по конкретному заказу в рамках договора согласован в договоре и по рассматриваемому заказу нарушен заявителем (заказчиком), за что применена согласованная договором ответственность, не противоречащая существу правоотношений сторон и статьям 329, 330, 331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«Уральская транспортная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