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21.06.2021, оставленным без изменения постановлением Пятнадцатого арбитражного апелляционного суда от 01.09.2021, иск удовлетворен частично, с ответчика в пользу истца взыскано 71 286 рублей 30 копеек неустойки. В удовлетворении остальной части иска отказано. Постановлением Арбитражного суда Северо-Кавказского округа от 08.12.2021 указанные судебные акты оставлены без изменения. 2 Общество обратилось в Верховный Суд Российской Федерации с кассационной жалобой, в которой просит принятые по делу судебные акты отменить в части взыскания штрафа на сумму 33 279 рублей 30 копеек. При изучении доводов жалобы и принятых по делу судебных актов оснований для удовлетворения жалобы не установлено. Оценив представленные в материалы дела доказательства, проанализировав условия заключенных сторонами муниципальных контрактов на выполнение работ, связанных с осуществлением регулярных перевозок по регулярным тарифам по муниципальным маршрутам, руководствуясь положениями статей 12, 330, 333, 431 Гражданского кодекса Российской Федерации, суды пришли к выводу об обоснованности заявленных требований департамента в размере 71 286 рублей 30 копеек неустойки, исходя из установленных фактов ненадлежащего исполнения обществом обязательств по контрактам. Доводы жалобы были предметом исследования судов и мотивированно отклонены,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Существенных нарушений норм материального права и (или) норм процессуального права, повлиявших на исход дела,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